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r/>
    </w:p>
    <w:tbl>
      <w:tblPr>
        <w:tblW w:w="0" w:type="auto"/>
        <w:jc w:val="left"/>
        <w:tblLayout w:type="fixed"/>
      </w:tblPr>
      <w:tblGrid>
        <w:gridCol w:w="6120"/>
      </w:tblGrid>
      <w:tr>
        <w:tc>
          <w:tcPr>
            <w:vAlign w:val="center"/>
          </w:tcPr>
          <w:tcPr>
            <w:shd w:color="auto" w:val="clear" w:fill="ffffff"/>
          </w:tcPr>
          <w:p>
            <w:pPr>
              <w:spacing w:after="30" w:before="5"/>
              <w:ind w:left="30" w:right="40"/>
              <w:jc w:val="center"/>
            </w:pPr>
            <w:r>
              <w:rPr>
                <w:rFonts w:ascii="Arial" w:hAnsi="Arial" w:cs="Arial" w:eastAsia="Arial"/>
                <w:b w:val="true"/>
                <w:color w:val="010205"/>
                <w:sz w:val="28"/>
              </w:rPr>
              <w:t>Warnungen</w:t>
            </w:r>
          </w:p>
        </w:tc>
      </w:tr>
      <w:tr>
        <w:tc>
          <w:tcPr>
            <w:tcBorders>
              <w:top w:val="none" w:sz="1" w:color="152935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16,279681059813670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17,795918367346940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17,834145602383785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17,840161058451937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19,740870701472854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19,866305135708340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20,494542214301624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20,639435057101850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20,738654462825714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20,865051903114190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20,915389810957056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21,027323113608936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21,463227433458513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21,640375294985148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21,829778461690168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21,913805697589478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22,153846153846153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22,852608609402896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22,893074081987730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23,277760301981754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23,304584120982987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23,423923824637970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23,470921493814313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23,560208600639992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23,563608844093185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23,621407362844230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23,625901820895763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23,632982604806628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23,644351948202100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23,910155778287645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23,940884431519095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23,964463558171122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24,046749452154856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24,163623082542000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24,194608809993426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24,250678935959936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24,251278305332356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24,293877551020410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24,367616029425044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24,386351303903730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24,457142857142860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24,791316763722890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24,857954545454547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24,893063275342563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25,000000000000000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25,056656771681187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25,648148148148145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25,746944318696244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25,863442843157344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26,080246913580247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26,220200848569950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26,290872364600430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26,341250273087610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26,456448386037202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26,534859521331942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26,666666666666668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27,056245434623808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27,324128862590403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27,434842249657070 konstant und wird in alle erstellten Boxplots aufgenommen. Andere Ausgaben werden jedoch weggelassen.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single" w:sz="1" w:color="152935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color w:val="010205"/>
                <w:sz w:val="24"/>
              </w:rPr>
              <w:t>Gewicht (kg) ist bei BMI (kg/m²) = 27,440599173553720 konstant und wird in alle erstellten Boxplots aufgenommen. Andere Ausgaben werden jedoch weggelassen.</w:t>
            </w:r>
          </w:p>
        </w:tc>
      </w:tr>
    </w:tbl>
    <w:sectPr>
      <w:pgSz w:h="16838" w:w="11906" w:orient="portrait"/>
      <w:pgMar w:left="1440" w:top="1440" w:right="1440" w:bottom="1440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2024-02-09T20:37:13Z</dcterms:created>
  <dc:creator>IBM SPSS Statistics</dc:creator>
</cp:coreProperties>
</file>